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751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11B460" w14:textId="77777777" w:rsidR="00163AC3" w:rsidRPr="007768ED" w:rsidRDefault="00163AC3" w:rsidP="009E73C9">
      <w:pPr>
        <w:pStyle w:val="Tre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E6B36E" w14:textId="616AE1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Uchwała nr </w:t>
      </w:r>
      <w:r w:rsidR="007768ED"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135</w:t>
      </w: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/22/</w:t>
      </w:r>
      <w:proofErr w:type="spellStart"/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Rd</w:t>
      </w:r>
      <w:proofErr w:type="spellEnd"/>
    </w:p>
    <w:p w14:paraId="407E571B" w14:textId="3AB934B1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Okręgowej Rady Lekarskiej w Gdańsku</w:t>
      </w:r>
    </w:p>
    <w:p w14:paraId="49E07FF9" w14:textId="4F63A2D5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dnia </w:t>
      </w:r>
      <w:r w:rsidR="007768ED"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15 grudnia 2022 </w:t>
      </w: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roku</w:t>
      </w:r>
    </w:p>
    <w:p w14:paraId="1730A088" w14:textId="3E3EA428" w:rsidR="00163AC3" w:rsidRPr="007768ED" w:rsidRDefault="00D44E27" w:rsidP="00163AC3">
      <w:pPr>
        <w:pStyle w:val="TreA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sprawie </w:t>
      </w:r>
      <w:r w:rsidR="00163AC3" w:rsidRPr="007768ED">
        <w:rPr>
          <w:rFonts w:ascii="Times New Roman" w:hAnsi="Times New Roman" w:cs="Times New Roman"/>
          <w:i/>
          <w:iCs/>
          <w:sz w:val="24"/>
          <w:szCs w:val="24"/>
          <w:lang w:val="pl-PL"/>
        </w:rPr>
        <w:t>zmiany uchwały nr 41/19/</w:t>
      </w:r>
      <w:proofErr w:type="spellStart"/>
      <w:r w:rsidR="00163AC3" w:rsidRPr="007768ED">
        <w:rPr>
          <w:rFonts w:ascii="Times New Roman" w:hAnsi="Times New Roman" w:cs="Times New Roman"/>
          <w:i/>
          <w:iCs/>
          <w:sz w:val="24"/>
          <w:szCs w:val="24"/>
          <w:lang w:val="pl-PL"/>
        </w:rPr>
        <w:t>Rd</w:t>
      </w:r>
      <w:proofErr w:type="spellEnd"/>
      <w:r w:rsidR="00163AC3" w:rsidRPr="007768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Okręgowej Rady Lekarskiej w Gdańsku</w:t>
      </w:r>
    </w:p>
    <w:p w14:paraId="6F746431" w14:textId="57C28CE7" w:rsidR="00CC3739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dnia 25 kwietnia 2019 roku w sprawie </w:t>
      </w:r>
      <w:r w:rsidR="00D44E27" w:rsidRPr="007768ED">
        <w:rPr>
          <w:rFonts w:ascii="Times New Roman" w:hAnsi="Times New Roman" w:cs="Times New Roman"/>
          <w:i/>
          <w:iCs/>
          <w:sz w:val="24"/>
          <w:szCs w:val="24"/>
          <w:lang w:val="pl-PL"/>
        </w:rPr>
        <w:t>zasad wydawania Pomorskiego Magazynu Lekarskiego oraz wysokości i zasad wypłat wynagrodzeń dla autorów artykułów publikowanych w Pomorskim Magazynie Lekarskim i reklam publikowanych w Pomorskim Magazynie Lekarskim</w:t>
      </w:r>
    </w:p>
    <w:p w14:paraId="5F349D04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  <w:tab/>
      </w:r>
    </w:p>
    <w:p w14:paraId="00788DFB" w14:textId="5DA467FC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  <w:tab/>
      </w:r>
    </w:p>
    <w:p w14:paraId="0FA4F339" w14:textId="69BEB740" w:rsidR="00163AC3" w:rsidRPr="007768ED" w:rsidRDefault="00163AC3" w:rsidP="007768ED">
      <w:pPr>
        <w:pStyle w:val="TreA"/>
        <w:spacing w:line="276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Na podstawie art. 25 pkt 4 i 16 w związku z art. 5 ust. 23 ustawy z dnia 2 grudnia 2009r. o</w:t>
      </w:r>
      <w:r w:rsidR="007768E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izbach lekarskich (Dz. U. 2018, poz. 168 – </w:t>
      </w:r>
      <w:proofErr w:type="spellStart"/>
      <w:r w:rsidRPr="007768ED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7768ED">
        <w:rPr>
          <w:rFonts w:ascii="Times New Roman" w:hAnsi="Times New Roman" w:cs="Times New Roman"/>
          <w:sz w:val="24"/>
          <w:szCs w:val="24"/>
          <w:lang w:val="pl-PL"/>
        </w:rPr>
        <w:t>.) uchwala się co następuje:</w:t>
      </w:r>
    </w:p>
    <w:p w14:paraId="27350523" w14:textId="461384E2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75DDAE43" w14:textId="54732A36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57CA69AE" w14:textId="743409FF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>§1</w:t>
      </w:r>
    </w:p>
    <w:p w14:paraId="61274CC8" w14:textId="27203A23" w:rsidR="00163AC3" w:rsidRPr="007768ED" w:rsidRDefault="00163AC3" w:rsidP="00163AC3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sz w:val="24"/>
          <w:szCs w:val="24"/>
          <w:lang w:val="pl-PL"/>
        </w:rPr>
        <w:t>1. W uchwale nr 41/19/</w:t>
      </w:r>
      <w:proofErr w:type="spellStart"/>
      <w:r w:rsidRPr="007768ED">
        <w:rPr>
          <w:rFonts w:ascii="Times New Roman" w:eastAsia="Cambria" w:hAnsi="Times New Roman" w:cs="Times New Roman"/>
          <w:sz w:val="24"/>
          <w:szCs w:val="24"/>
          <w:lang w:val="pl-PL"/>
        </w:rPr>
        <w:t>Rd</w:t>
      </w:r>
      <w:proofErr w:type="spellEnd"/>
      <w:r w:rsidRPr="007768ED">
        <w:rPr>
          <w:rFonts w:ascii="Times New Roman" w:eastAsia="Cambria" w:hAnsi="Times New Roman" w:cs="Times New Roman"/>
          <w:sz w:val="24"/>
          <w:szCs w:val="24"/>
          <w:lang w:val="pl-PL"/>
        </w:rPr>
        <w:t xml:space="preserve"> Okręgowej Rady Lekarskiej w Gdańsku z dnia 25 kwietnia 2019 roku w</w:t>
      </w:r>
      <w:r w:rsidR="007768ED">
        <w:rPr>
          <w:rFonts w:ascii="Times New Roman" w:eastAsia="Cambria" w:hAnsi="Times New Roman" w:cs="Times New Roman"/>
          <w:sz w:val="24"/>
          <w:szCs w:val="24"/>
          <w:lang w:val="pl-PL"/>
        </w:rPr>
        <w:t> </w:t>
      </w:r>
      <w:r w:rsidRPr="007768ED">
        <w:rPr>
          <w:rFonts w:ascii="Times New Roman" w:eastAsia="Cambria" w:hAnsi="Times New Roman" w:cs="Times New Roman"/>
          <w:sz w:val="24"/>
          <w:szCs w:val="24"/>
          <w:lang w:val="pl-PL"/>
        </w:rPr>
        <w:t>sprawie zasad wydawania Pomorskiego Magazynu Lekarskiego oraz wysokości i zasad wypłat wynagrodzeń dla autorów artykułów publikowanych w Pomorskim Magazynie Lekarskim i reklam publikowanych w Pomorskim Magazynie Lekarskim</w:t>
      </w:r>
    </w:p>
    <w:p w14:paraId="6AE5C2CC" w14:textId="1FAAF775" w:rsidR="00163AC3" w:rsidRPr="007768ED" w:rsidRDefault="00163AC3" w:rsidP="00163AC3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sz w:val="24"/>
          <w:szCs w:val="24"/>
          <w:lang w:val="pl-PL"/>
        </w:rPr>
        <w:t>dokonuje się następujących zmian:</w:t>
      </w:r>
    </w:p>
    <w:p w14:paraId="7CE416BF" w14:textId="55499605" w:rsidR="00163AC3" w:rsidRPr="007768ED" w:rsidRDefault="00163AC3" w:rsidP="00163AC3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030D28BE" w14:textId="021FA5E9" w:rsidR="00163AC3" w:rsidRPr="007768ED" w:rsidRDefault="00163AC3" w:rsidP="00163AC3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sz w:val="24"/>
          <w:szCs w:val="24"/>
          <w:lang w:val="pl-PL"/>
        </w:rPr>
        <w:t>Dodaje się § 10 o treści:</w:t>
      </w:r>
    </w:p>
    <w:p w14:paraId="132C9185" w14:textId="77777777" w:rsidR="00163AC3" w:rsidRPr="007768ED" w:rsidRDefault="00163AC3" w:rsidP="00163AC3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23368853" w14:textId="77777777" w:rsidR="00163AC3" w:rsidRPr="007E474B" w:rsidRDefault="00163AC3" w:rsidP="00163AC3">
      <w:pPr>
        <w:pStyle w:val="TreB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E474B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1. Cennik reklam publikowanych w Pomorskim Magazynie Lekarskim, stanowiący integralny załącznik do niniejszej uchwały, ustala Okręgowa Rada Lekarska w Gdańsku. </w:t>
      </w:r>
    </w:p>
    <w:p w14:paraId="7E18A3D4" w14:textId="0790CD98" w:rsidR="00163AC3" w:rsidRPr="007E474B" w:rsidRDefault="00163AC3" w:rsidP="00163AC3">
      <w:pPr>
        <w:pStyle w:val="TreB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E474B">
        <w:rPr>
          <w:rFonts w:ascii="Times New Roman" w:hAnsi="Times New Roman" w:cs="Times New Roman"/>
          <w:i/>
          <w:iCs/>
          <w:sz w:val="24"/>
          <w:szCs w:val="24"/>
          <w:lang w:val="pl-PL"/>
        </w:rPr>
        <w:t>2. Zasady publikacji reklam, co do ich zakresu i treści ustala Redaktor Naczelny w porozumieniu z</w:t>
      </w:r>
      <w:r w:rsidR="007768ED" w:rsidRPr="007E474B">
        <w:rPr>
          <w:rFonts w:ascii="Times New Roman" w:hAnsi="Times New Roman" w:cs="Times New Roman"/>
          <w:i/>
          <w:iCs/>
          <w:sz w:val="24"/>
          <w:szCs w:val="24"/>
          <w:lang w:val="pl-PL"/>
        </w:rPr>
        <w:t> </w:t>
      </w:r>
      <w:r w:rsidRPr="007E474B">
        <w:rPr>
          <w:rFonts w:ascii="Times New Roman" w:hAnsi="Times New Roman" w:cs="Times New Roman"/>
          <w:i/>
          <w:iCs/>
          <w:sz w:val="24"/>
          <w:szCs w:val="24"/>
          <w:lang w:val="pl-PL"/>
        </w:rPr>
        <w:t>Radą Programową.</w:t>
      </w:r>
    </w:p>
    <w:p w14:paraId="1251E764" w14:textId="7613F333" w:rsidR="00163AC3" w:rsidRPr="007768ED" w:rsidRDefault="00163AC3" w:rsidP="00163AC3">
      <w:pPr>
        <w:pStyle w:val="TreB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E474B">
        <w:rPr>
          <w:rFonts w:ascii="Times New Roman" w:hAnsi="Times New Roman" w:cs="Times New Roman"/>
          <w:i/>
          <w:iCs/>
          <w:sz w:val="24"/>
          <w:szCs w:val="24"/>
          <w:lang w:val="pl-PL"/>
        </w:rPr>
        <w:t>3. Redaktor Naczelny we współpracy z Radą Programową może odmówić publikacji reklamy bez podania przyczyny.</w:t>
      </w:r>
    </w:p>
    <w:p w14:paraId="7665F099" w14:textId="3FCC0E33" w:rsidR="00163AC3" w:rsidRPr="007768ED" w:rsidRDefault="00163AC3" w:rsidP="00163AC3">
      <w:pPr>
        <w:pStyle w:val="TreB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24994AB" w14:textId="07B7B3C0" w:rsidR="00163AC3" w:rsidRPr="007768ED" w:rsidRDefault="00163AC3" w:rsidP="00163AC3">
      <w:pPr>
        <w:pStyle w:val="TreB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2. Przyjmuje się załącznik do pierwotnej uchwały, stanowiący cennik reklam publikowanych w</w:t>
      </w:r>
      <w:r w:rsidR="007768E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7768ED">
        <w:rPr>
          <w:rFonts w:ascii="Times New Roman" w:hAnsi="Times New Roman" w:cs="Times New Roman"/>
          <w:sz w:val="24"/>
          <w:szCs w:val="24"/>
          <w:lang w:val="pl-PL"/>
        </w:rPr>
        <w:t>Pomorskim Magazynie Lekarskim w treści:</w:t>
      </w:r>
    </w:p>
    <w:p w14:paraId="424A0800" w14:textId="77777777" w:rsidR="00163AC3" w:rsidRPr="007768ED" w:rsidRDefault="00163AC3" w:rsidP="00163AC3">
      <w:pPr>
        <w:pStyle w:val="TreB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163AC3" w:rsidRPr="007768ED" w14:paraId="67692C73" w14:textId="77777777" w:rsidTr="00997C11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655F" w14:textId="77777777" w:rsidR="00163AC3" w:rsidRPr="007768ED" w:rsidRDefault="00163AC3" w:rsidP="00997C11">
            <w:pPr>
              <w:pStyle w:val="Styltabeli2"/>
              <w:rPr>
                <w:rFonts w:ascii="Times New Roman" w:hAnsi="Times New Roman" w:cs="Times New Roman"/>
              </w:rPr>
            </w:pPr>
            <w:r w:rsidRPr="007768ED">
              <w:rPr>
                <w:rFonts w:ascii="Times New Roman" w:eastAsia="Arial Unicode MS" w:hAnsi="Times New Roman" w:cs="Times New Roman"/>
              </w:rPr>
              <w:t>Obszar reklamy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A9C0" w14:textId="77777777" w:rsidR="00163AC3" w:rsidRPr="007768ED" w:rsidRDefault="00163AC3" w:rsidP="00997C11">
            <w:pPr>
              <w:pStyle w:val="Styltabeli2"/>
              <w:rPr>
                <w:rFonts w:ascii="Times New Roman" w:hAnsi="Times New Roman" w:cs="Times New Roman"/>
              </w:rPr>
            </w:pPr>
            <w:r w:rsidRPr="007768ED">
              <w:rPr>
                <w:rFonts w:ascii="Times New Roman" w:eastAsia="Arial Unicode MS" w:hAnsi="Times New Roman" w:cs="Times New Roman"/>
              </w:rPr>
              <w:t>Cena brutto reklamy</w:t>
            </w:r>
          </w:p>
        </w:tc>
      </w:tr>
      <w:tr w:rsidR="00163AC3" w:rsidRPr="007768ED" w14:paraId="0C226051" w14:textId="77777777" w:rsidTr="00997C11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21CD" w14:textId="77777777" w:rsidR="00163AC3" w:rsidRPr="007768ED" w:rsidRDefault="00163AC3" w:rsidP="00997C11">
            <w:pPr>
              <w:pStyle w:val="Styltabeli2"/>
              <w:rPr>
                <w:rFonts w:ascii="Times New Roman" w:hAnsi="Times New Roman" w:cs="Times New Roman"/>
              </w:rPr>
            </w:pPr>
            <w:r w:rsidRPr="007768ED">
              <w:rPr>
                <w:rFonts w:ascii="Times New Roman" w:eastAsia="Arial Unicode MS" w:hAnsi="Times New Roman" w:cs="Times New Roman"/>
              </w:rPr>
              <w:t>Cała strona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9023" w14:textId="54DE2973" w:rsidR="00163AC3" w:rsidRPr="007768ED" w:rsidRDefault="007E474B" w:rsidP="00997C11">
            <w:pPr>
              <w:jc w:val="right"/>
              <w:rPr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000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,00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zł</w:t>
            </w:r>
          </w:p>
        </w:tc>
      </w:tr>
      <w:tr w:rsidR="00163AC3" w:rsidRPr="007768ED" w14:paraId="5EC7C011" w14:textId="77777777" w:rsidTr="00997C11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AF7C" w14:textId="77777777" w:rsidR="00163AC3" w:rsidRPr="007768ED" w:rsidRDefault="00163AC3" w:rsidP="00997C11">
            <w:pPr>
              <w:pStyle w:val="Styltabeli2"/>
              <w:rPr>
                <w:rFonts w:ascii="Times New Roman" w:hAnsi="Times New Roman" w:cs="Times New Roman"/>
              </w:rPr>
            </w:pPr>
            <w:r w:rsidRPr="007768ED">
              <w:rPr>
                <w:rFonts w:ascii="Times New Roman" w:eastAsia="Arial Unicode MS" w:hAnsi="Times New Roman" w:cs="Times New Roman"/>
              </w:rPr>
              <w:t>1/2 strony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FA65" w14:textId="7C83CEFE" w:rsidR="00163AC3" w:rsidRPr="007768ED" w:rsidRDefault="007E474B" w:rsidP="00997C11">
            <w:pPr>
              <w:jc w:val="right"/>
              <w:rPr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2 25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,00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zł</w:t>
            </w:r>
          </w:p>
        </w:tc>
      </w:tr>
      <w:tr w:rsidR="00163AC3" w:rsidRPr="007768ED" w14:paraId="66FE0D1F" w14:textId="77777777" w:rsidTr="00997C11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420A" w14:textId="77777777" w:rsidR="00163AC3" w:rsidRPr="007768ED" w:rsidRDefault="00163AC3" w:rsidP="00997C11">
            <w:pPr>
              <w:pStyle w:val="Styltabeli2"/>
              <w:rPr>
                <w:rFonts w:ascii="Times New Roman" w:hAnsi="Times New Roman" w:cs="Times New Roman"/>
              </w:rPr>
            </w:pPr>
            <w:r w:rsidRPr="007768ED">
              <w:rPr>
                <w:rFonts w:ascii="Times New Roman" w:eastAsia="Arial Unicode MS" w:hAnsi="Times New Roman" w:cs="Times New Roman"/>
              </w:rPr>
              <w:t>1/4 strony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48C1" w14:textId="57425868" w:rsidR="00163AC3" w:rsidRPr="007768ED" w:rsidRDefault="007E474B" w:rsidP="00997C11">
            <w:pPr>
              <w:jc w:val="right"/>
              <w:rPr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,00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zł</w:t>
            </w:r>
          </w:p>
        </w:tc>
      </w:tr>
      <w:tr w:rsidR="00163AC3" w:rsidRPr="007768ED" w14:paraId="2727D5B8" w14:textId="77777777" w:rsidTr="00997C11">
        <w:trPr>
          <w:trHeight w:val="295"/>
          <w:jc w:val="center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4583" w14:textId="77777777" w:rsidR="00163AC3" w:rsidRPr="007768ED" w:rsidRDefault="00163AC3" w:rsidP="00997C11">
            <w:pPr>
              <w:pStyle w:val="Styltabeli2"/>
              <w:rPr>
                <w:rFonts w:ascii="Times New Roman" w:hAnsi="Times New Roman" w:cs="Times New Roman"/>
              </w:rPr>
            </w:pPr>
            <w:r w:rsidRPr="007768ED">
              <w:rPr>
                <w:rFonts w:ascii="Times New Roman" w:eastAsia="Arial Unicode MS" w:hAnsi="Times New Roman" w:cs="Times New Roman"/>
              </w:rPr>
              <w:t>1/8 strony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97F8" w14:textId="571B413B" w:rsidR="00163AC3" w:rsidRPr="007768ED" w:rsidRDefault="007E474B" w:rsidP="00997C11">
            <w:pPr>
              <w:jc w:val="right"/>
              <w:rPr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000</w:t>
            </w:r>
            <w:r w:rsid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,00</w:t>
            </w:r>
            <w:r w:rsidR="00163AC3" w:rsidRPr="007768ED">
              <w:rPr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zł</w:t>
            </w:r>
          </w:p>
        </w:tc>
      </w:tr>
    </w:tbl>
    <w:p w14:paraId="7477CA50" w14:textId="77777777" w:rsidR="00163AC3" w:rsidRPr="007768ED" w:rsidRDefault="00163AC3" w:rsidP="00163AC3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7B68858" w14:textId="6B26A60A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44BCCF1C" w14:textId="1A623A38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01A07798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42BA4271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4560300A" w14:textId="0418B3E6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>§2</w:t>
      </w:r>
    </w:p>
    <w:p w14:paraId="5BCC4B8E" w14:textId="477B7ED9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6E0FC4C4" w14:textId="7F380C79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1. Uchwała wchodzi w życie z dniem podjęcia.</w:t>
      </w:r>
    </w:p>
    <w:p w14:paraId="244375C5" w14:textId="41941F9B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2. Tekst jednolity uchwały stanowi załącznik do niniejszej uchwały.</w:t>
      </w:r>
    </w:p>
    <w:p w14:paraId="6A8D598B" w14:textId="4BB11A56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44C4436" w14:textId="5CE1A5D4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7A3AA87" w14:textId="3CD1E831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BC56FE6" w14:textId="4062AB10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417FDB" w:rsidRPr="007768ED" w14:paraId="2E8629E9" w14:textId="77777777" w:rsidTr="0052734F">
        <w:tc>
          <w:tcPr>
            <w:tcW w:w="3572" w:type="dxa"/>
          </w:tcPr>
          <w:p w14:paraId="31B7509C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Sekretarz</w:t>
            </w:r>
            <w:proofErr w:type="spellEnd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Okręgowej</w:t>
            </w:r>
            <w:proofErr w:type="spellEnd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Rady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Lekarskiej</w:t>
            </w:r>
            <w:proofErr w:type="spellEnd"/>
          </w:p>
          <w:p w14:paraId="609C4A5C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Gdańsku</w:t>
            </w:r>
            <w:proofErr w:type="spellEnd"/>
          </w:p>
        </w:tc>
        <w:tc>
          <w:tcPr>
            <w:tcW w:w="2122" w:type="dxa"/>
          </w:tcPr>
          <w:p w14:paraId="66DD9585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5DBDF0F2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Wiceprezes</w:t>
            </w:r>
            <w:proofErr w:type="spellEnd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Okręgowej</w:t>
            </w:r>
            <w:proofErr w:type="spellEnd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Rady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Lekarskiej</w:t>
            </w:r>
            <w:proofErr w:type="spellEnd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AD167C0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Gdańsku</w:t>
            </w:r>
            <w:proofErr w:type="spellEnd"/>
          </w:p>
        </w:tc>
      </w:tr>
      <w:tr w:rsidR="00417FDB" w:rsidRPr="007768ED" w14:paraId="23083D17" w14:textId="77777777" w:rsidTr="0052734F">
        <w:trPr>
          <w:trHeight w:val="1013"/>
        </w:trPr>
        <w:tc>
          <w:tcPr>
            <w:tcW w:w="3572" w:type="dxa"/>
          </w:tcPr>
          <w:p w14:paraId="6C029E77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14:paraId="3B863EBB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28215D62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7FDB" w:rsidRPr="007768ED" w14:paraId="50DB4FDD" w14:textId="77777777" w:rsidTr="0052734F">
        <w:tc>
          <w:tcPr>
            <w:tcW w:w="3572" w:type="dxa"/>
          </w:tcPr>
          <w:p w14:paraId="0E1C4F95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lek. Krzysztof </w:t>
            </w:r>
            <w:proofErr w:type="spellStart"/>
            <w:r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Wójcikiewicz</w:t>
            </w:r>
            <w:proofErr w:type="spellEnd"/>
          </w:p>
        </w:tc>
        <w:tc>
          <w:tcPr>
            <w:tcW w:w="2122" w:type="dxa"/>
          </w:tcPr>
          <w:p w14:paraId="6F25D1C1" w14:textId="77777777" w:rsidR="00417FDB" w:rsidRPr="007768ED" w:rsidRDefault="00417FD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18ECD605" w14:textId="4909C758" w:rsidR="00417FDB" w:rsidRPr="007768ED" w:rsidRDefault="007E474B" w:rsidP="0052734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417FDB"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proofErr w:type="spellEnd"/>
            <w:r w:rsidR="00417FDB"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n. med. Roman </w:t>
            </w:r>
            <w:proofErr w:type="spellStart"/>
            <w:r w:rsidR="00417FDB" w:rsidRPr="007768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Budziński</w:t>
            </w:r>
            <w:proofErr w:type="spellEnd"/>
          </w:p>
        </w:tc>
      </w:tr>
    </w:tbl>
    <w:p w14:paraId="24495CDB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67BE12C3" w14:textId="01E2AB12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6FC9780D" w14:textId="1F0F7281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2EA878EF" w14:textId="103439E6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70A565B1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3EF83FBF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580A9FF1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0E812C26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3EE2CD64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5AC491C4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518E5689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3553F98A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148F953F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0BA5592F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0156F3E0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6715E0F7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1F0A1D1F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7CDA2196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6CF2ABF5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2512A135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00215638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72719BE7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69341D6F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0D2B7AEC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1568333B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6EC20022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4CEADB8C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29A83412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6BFB820F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23FC215A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770BCF0D" w14:textId="77777777" w:rsidR="00441A68" w:rsidRDefault="00441A68" w:rsidP="00163AC3">
      <w:pPr>
        <w:pStyle w:val="TreA"/>
        <w:spacing w:line="276" w:lineRule="auto"/>
        <w:jc w:val="right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5D7F4655" w14:textId="35B83667" w:rsidR="00163AC3" w:rsidRPr="007768ED" w:rsidRDefault="00163AC3" w:rsidP="00163AC3">
      <w:pPr>
        <w:pStyle w:val="TreA"/>
        <w:spacing w:line="276" w:lineRule="auto"/>
        <w:jc w:val="right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  <w:lastRenderedPageBreak/>
        <w:t>Tekst jednolity uwzględniający zmiany z dn. 15.12.2022r.</w:t>
      </w:r>
    </w:p>
    <w:p w14:paraId="5BFD19DD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0CD03320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14:paraId="474F9E13" w14:textId="17D62182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>Uchwała nr 41/19/</w:t>
      </w:r>
      <w:proofErr w:type="spellStart"/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>Rd</w:t>
      </w:r>
      <w:proofErr w:type="spellEnd"/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D047096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 xml:space="preserve">Okręgowej Rady Lekarskiej w Gdańsku </w:t>
      </w:r>
    </w:p>
    <w:p w14:paraId="2A0803C6" w14:textId="77777777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 xml:space="preserve">z dnia 25 kwietnia 2019 roku </w:t>
      </w:r>
    </w:p>
    <w:p w14:paraId="3E9DF490" w14:textId="5E6028BF" w:rsidR="00163AC3" w:rsidRPr="007768ED" w:rsidRDefault="00163AC3" w:rsidP="00163AC3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  <w:r w:rsidRPr="007768ED"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  <w:t>w sprawie zasad wydawania Pomorskiego Magazynu Lekarskiego oraz wysokości i zasad wypłat wynagrodzeń dla autorów artykułów publikowanych w Pomorskim Magazynie Lekarskim i reklam publikowanych w Pomorskim Magazynie Lekarskim</w:t>
      </w:r>
    </w:p>
    <w:p w14:paraId="6384B132" w14:textId="748EB350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2181F056" w14:textId="77777777" w:rsidR="00163AC3" w:rsidRPr="007768ED" w:rsidRDefault="00163AC3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2BEB7C66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Na podstawie art. 25 pkt 4 i 16 w związku z art. 5 ust. 23 ustawy z dnia 2 grudnia 2009r. o izbach lekarskich (Dz. U. 2018, poz. 168 – </w:t>
      </w:r>
      <w:proofErr w:type="spellStart"/>
      <w:r w:rsidRPr="007768ED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7768ED">
        <w:rPr>
          <w:rFonts w:ascii="Times New Roman" w:hAnsi="Times New Roman" w:cs="Times New Roman"/>
          <w:sz w:val="24"/>
          <w:szCs w:val="24"/>
          <w:lang w:val="pl-PL"/>
        </w:rPr>
        <w:t>.) uchwala się co następuje:</w:t>
      </w:r>
    </w:p>
    <w:p w14:paraId="041020F6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79CD3C6B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§1</w:t>
      </w:r>
    </w:p>
    <w:p w14:paraId="5193BC29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2BA646B0" w14:textId="77777777" w:rsidR="00CC3739" w:rsidRPr="007768ED" w:rsidRDefault="00D44E27" w:rsidP="009E73C9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Okręgowa Izba Lekarska w Gdańsku zwana dalej OIL wydaje miesięcznik pod nazwą Pomorski Magazyn Lekarski, zwany dalej PML </w:t>
      </w:r>
    </w:p>
    <w:p w14:paraId="24F2A6F4" w14:textId="77777777" w:rsidR="00CC3739" w:rsidRPr="007768ED" w:rsidRDefault="00D44E27" w:rsidP="009E73C9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Wydawcą PML jest Okręgowa Izba Lekarska, a siedziba redakcji mieści się w siedzibie Okręgowej Izby Lekarskiej w Gdańsku, ul. Śniadeckich 33 w Gdańsku.</w:t>
      </w:r>
    </w:p>
    <w:p w14:paraId="0BFBB064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51AAA652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§2</w:t>
      </w:r>
    </w:p>
    <w:p w14:paraId="1ABB8842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  <w:lang w:val="pl-PL"/>
        </w:rPr>
      </w:pPr>
    </w:p>
    <w:p w14:paraId="2767181B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W PML publikuje się istotne dla OIL i jej członków materiały z zakresu wiedzy medycznej, prawa ekonomii, oraz spraw gospodarczych, społecznych i kulturalnych dotyczących środowiska lekarskiego lub mających dla tego środowiska istotne znaczenie.  </w:t>
      </w:r>
    </w:p>
    <w:p w14:paraId="39148C44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6455D8FA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§3</w:t>
      </w:r>
    </w:p>
    <w:p w14:paraId="4C71EB93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96750CD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PML wydawany jest w nakładzie papierowym i elektronicznie odpowiadającym uzasadnionym potrzebom w ramach przyznanych na ten cel środków.</w:t>
      </w:r>
    </w:p>
    <w:p w14:paraId="1B939F9E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095F2D65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§4</w:t>
      </w:r>
    </w:p>
    <w:p w14:paraId="235D29A0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8129FDD" w14:textId="77777777" w:rsidR="00CC3739" w:rsidRPr="007768ED" w:rsidRDefault="00D44E27" w:rsidP="009E73C9">
      <w:pPr>
        <w:pStyle w:val="Tre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Prezes ORL zapewnia zredagowanie, wydrukowanie oraz dystrybucję PML. </w:t>
      </w:r>
    </w:p>
    <w:p w14:paraId="0D8BB8BB" w14:textId="77777777" w:rsidR="00CC3739" w:rsidRPr="007768ED" w:rsidRDefault="00D44E27" w:rsidP="009E73C9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Okręgowa Rada Lekarska zapewnia w budżecie środki na wydawanie PML. </w:t>
      </w:r>
    </w:p>
    <w:p w14:paraId="443A906F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15C3DC80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§5</w:t>
      </w:r>
    </w:p>
    <w:p w14:paraId="15EEDCBD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07970805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1. Proces przygotowania (zbierania, oceniania i opracowywania) materiałów do publikacji organizuje redakcja miesięcznika. </w:t>
      </w:r>
    </w:p>
    <w:p w14:paraId="481B54A0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5B8A496D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2. W skład redakcji wchodzi Redaktor Naczelny, Zastępca Redaktora Naczelnego i Sekretarz Redakcji. </w:t>
      </w:r>
    </w:p>
    <w:p w14:paraId="632FC97D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3B51BA05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3. Redaktora Naczelnego, jego zastępcę i sekretarza powołuje i odwołuje Prezes OIL.</w:t>
      </w:r>
    </w:p>
    <w:p w14:paraId="495A2416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22274AC4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§6</w:t>
      </w:r>
    </w:p>
    <w:p w14:paraId="586C14D2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567B167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1. Redaktor Naczelny: </w:t>
      </w:r>
    </w:p>
    <w:p w14:paraId="360D9296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a/  kieruje praca redakcji </w:t>
      </w:r>
    </w:p>
    <w:p w14:paraId="41BD59FC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b/ czuwa nad całokształtem spraw związanych z wydawaniem miesięcznika </w:t>
      </w:r>
    </w:p>
    <w:p w14:paraId="1831FC0E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c/ dba o powiązanie profilu miesięcznika z aktualnymi kierunkami działalności OIL w Gdańsku. </w:t>
      </w:r>
    </w:p>
    <w:p w14:paraId="509F60F4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3. Redaktor Naczelny składa Prezesowi ORL coroczne sprawozdanie z pracy redakcji. </w:t>
      </w:r>
    </w:p>
    <w:p w14:paraId="0D574F81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6991B9B0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§7</w:t>
      </w:r>
    </w:p>
    <w:p w14:paraId="168D8D20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F6BC596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1.    Przy redakcji PML działa Rada Programowa, która jest organem opiniodawczo-doradczym    </w:t>
      </w:r>
    </w:p>
    <w:p w14:paraId="7487F7D6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        Redaktora Naczelnego. </w:t>
      </w:r>
    </w:p>
    <w:p w14:paraId="1F3BBF9C" w14:textId="77777777" w:rsidR="00CC3739" w:rsidRPr="007768ED" w:rsidRDefault="00D44E27" w:rsidP="009E73C9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W skład Rady Programowej wchodzą: Prezes oraz członkowie Prezydium Okręgowej Rady Lekarskiej.</w:t>
      </w:r>
    </w:p>
    <w:p w14:paraId="523288AE" w14:textId="77777777" w:rsidR="00CC3739" w:rsidRPr="007768ED" w:rsidRDefault="00D44E27" w:rsidP="009E73C9">
      <w:pPr>
        <w:pStyle w:val="Tr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Rada Programowa opiniuje każdy numer PML przed jego wydaniem i skierowaniem do druku, zgodnie z zasadami określonymi w §8. </w:t>
      </w:r>
    </w:p>
    <w:p w14:paraId="77B26036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1121F221" w14:textId="77777777" w:rsidR="00CC3739" w:rsidRPr="007768ED" w:rsidRDefault="00CC3739" w:rsidP="009E73C9">
      <w:pPr>
        <w:pStyle w:val="TreA"/>
        <w:spacing w:line="276" w:lineRule="auto"/>
        <w:ind w:left="425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5E528EDD" w14:textId="77777777" w:rsidR="00CC3739" w:rsidRPr="007768ED" w:rsidRDefault="00D44E27" w:rsidP="009E73C9">
      <w:pPr>
        <w:pStyle w:val="TreA"/>
        <w:spacing w:line="276" w:lineRule="auto"/>
        <w:ind w:left="425"/>
        <w:jc w:val="center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8</w:t>
      </w:r>
    </w:p>
    <w:p w14:paraId="203F9AF0" w14:textId="77777777" w:rsidR="00CC3739" w:rsidRPr="007768ED" w:rsidRDefault="00CC3739" w:rsidP="009E73C9">
      <w:pPr>
        <w:pStyle w:val="TreA"/>
        <w:spacing w:line="276" w:lineRule="auto"/>
        <w:ind w:left="425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327BD2F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Redaktor Naczelny </w:t>
      </w:r>
    </w:p>
    <w:p w14:paraId="66917F4D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a/ przedstawia Radzie Programowej plan kolejnego numeru PML, zwierający wykaz tematów, </w:t>
      </w:r>
    </w:p>
    <w:p w14:paraId="76CD94E5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b/ uwzględnia zastrzeżenia Rady Programowej zgłoszone do przedstawionego wykazu tematów, </w:t>
      </w:r>
    </w:p>
    <w:p w14:paraId="47D612EC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c/ zamawia materiały do publikacji w PML zgodnie z zaakceptowanym przez Radę Programową wykazem tematów,</w:t>
      </w:r>
    </w:p>
    <w:p w14:paraId="7AA0B9C7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d/ zbiera materiały przeznaczone do publikacji i dokonuje ich oceny pod względem merytorycznym i językowym, </w:t>
      </w:r>
    </w:p>
    <w:p w14:paraId="03040387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e/ kieruje zebrane i zaakceptowane przez siebie materiały do publikacji,</w:t>
      </w:r>
    </w:p>
    <w:p w14:paraId="4C080BD0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f/ czuwa nad terminowością druku i wysyłki PML</w:t>
      </w:r>
    </w:p>
    <w:p w14:paraId="6BBA0620" w14:textId="77777777" w:rsidR="00CC3739" w:rsidRPr="007768ED" w:rsidRDefault="00CC3739" w:rsidP="009E73C9">
      <w:pPr>
        <w:pStyle w:val="TreA"/>
        <w:spacing w:line="276" w:lineRule="auto"/>
        <w:ind w:left="425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5A89E91E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77C10886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§9</w:t>
      </w:r>
    </w:p>
    <w:p w14:paraId="4370FAB6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604EDFAC" w14:textId="77777777" w:rsidR="00CC3739" w:rsidRPr="007768ED" w:rsidRDefault="00D44E27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1. Ustala się wysokość zryczałtowanego wynagrodzenia dla autorów artykułów publikowanych w Pomorskim Magazynie Lekarskim na kwotę 400zł (słownie: czterysta złotych) brutto.</w:t>
      </w:r>
    </w:p>
    <w:p w14:paraId="4CE7B53B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702079EA" w14:textId="77777777" w:rsidR="00CC3739" w:rsidRPr="007768ED" w:rsidRDefault="00D44E27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2. Z zastrzeżeniem ust. 3, wysokość należnego wynagrodzenia jest uzależniona proporcjonalnie od ilości znaków bez spacji zawartych w artykule: </w:t>
      </w:r>
    </w:p>
    <w:p w14:paraId="28F1EBE9" w14:textId="77777777" w:rsidR="00CC3739" w:rsidRPr="007768ED" w:rsidRDefault="00CC3739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63F424AE" w14:textId="77777777" w:rsidR="00CC3739" w:rsidRPr="007768ED" w:rsidRDefault="00D44E27" w:rsidP="009E73C9">
      <w:pPr>
        <w:pStyle w:val="Tre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Style w:val="BrakA"/>
          <w:rFonts w:ascii="Times New Roman" w:hAnsi="Times New Roman" w:cs="Times New Roman"/>
          <w:sz w:val="24"/>
          <w:szCs w:val="24"/>
          <w:lang w:val="pl-PL"/>
        </w:rPr>
        <w:t>do 1000 znaków bez spacji - 1/4 wysokości zryczałtowanego wynagrodzenia określonego w ust. 1 uchwały,</w:t>
      </w:r>
    </w:p>
    <w:p w14:paraId="28301BA7" w14:textId="77777777" w:rsidR="00CC3739" w:rsidRPr="007768ED" w:rsidRDefault="00D44E27" w:rsidP="009E73C9">
      <w:pPr>
        <w:pStyle w:val="Tre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od 1001 do 2000 znaków bez spacji - 2/4 wysokości zryczałtowanego wynagrodzenia  określonego w ust. 1 uchwały, </w:t>
      </w:r>
    </w:p>
    <w:p w14:paraId="58A1937C" w14:textId="77777777" w:rsidR="00CC3739" w:rsidRPr="007768ED" w:rsidRDefault="00D44E27" w:rsidP="009E73C9">
      <w:pPr>
        <w:pStyle w:val="Tre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Style w:val="BrakA"/>
          <w:rFonts w:ascii="Times New Roman" w:hAnsi="Times New Roman" w:cs="Times New Roman"/>
          <w:sz w:val="24"/>
          <w:szCs w:val="24"/>
          <w:lang w:val="pl-PL"/>
        </w:rPr>
        <w:t xml:space="preserve">od 2001 do 3000 znaków bez spacji - 3/4 wysokości zryczałtowanego wynagrodzenia  określonego w ust. 1 uchwały, </w:t>
      </w:r>
    </w:p>
    <w:p w14:paraId="49A3D044" w14:textId="77777777" w:rsidR="00CC3739" w:rsidRPr="007768ED" w:rsidRDefault="00D44E27" w:rsidP="009E73C9">
      <w:pPr>
        <w:pStyle w:val="TreB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68ED">
        <w:rPr>
          <w:rStyle w:val="BrakA"/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ponad 3001 znaków bez spacji - pełna wysokości zryczałtowanego wynagrodzenia określonego w ust. 1 uchwały. </w:t>
      </w:r>
    </w:p>
    <w:p w14:paraId="2C79A0D6" w14:textId="77777777" w:rsidR="00CC3739" w:rsidRPr="007768ED" w:rsidRDefault="00CC3739" w:rsidP="009E73C9">
      <w:pPr>
        <w:pStyle w:val="TreB"/>
        <w:spacing w:line="276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511C0D4E" w14:textId="77777777" w:rsidR="00CC3739" w:rsidRPr="007768ED" w:rsidRDefault="00D44E27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 xml:space="preserve">3.  W uzasadnionych przypadkach, dla artykułów o szczególnym znaczeniu lub szczególnej wartości merytorycznej, Prezydium Okręgowej Rady Lekarskiej, na wniosek Rady Programowej, może ustalić inną wysokość wynagrodzenia przysługującemu autorowi danego materiału. </w:t>
      </w:r>
    </w:p>
    <w:p w14:paraId="3C3741D4" w14:textId="77777777" w:rsidR="00CC3739" w:rsidRPr="007768ED" w:rsidRDefault="00CC3739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2EE52959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§10</w:t>
      </w:r>
    </w:p>
    <w:p w14:paraId="2870122D" w14:textId="4047A9D0" w:rsidR="00CC3739" w:rsidRPr="00441A68" w:rsidRDefault="00D44E27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441A68">
        <w:rPr>
          <w:rFonts w:ascii="Times New Roman" w:hAnsi="Times New Roman" w:cs="Times New Roman"/>
          <w:sz w:val="24"/>
          <w:szCs w:val="24"/>
          <w:lang w:val="pl-PL"/>
        </w:rPr>
        <w:t xml:space="preserve">1. Cennik reklam publikowanych w Pomorskim Magazynie Lekarskim, stanowiący integralny załącznik do niniejszej uchwały, ustala Okręgowa Rada Lekarska w Gdańsku. </w:t>
      </w:r>
    </w:p>
    <w:p w14:paraId="424A1CCB" w14:textId="77777777" w:rsidR="00CC3739" w:rsidRPr="00441A68" w:rsidRDefault="00D44E27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441A68">
        <w:rPr>
          <w:rFonts w:ascii="Times New Roman" w:hAnsi="Times New Roman" w:cs="Times New Roman"/>
          <w:sz w:val="24"/>
          <w:szCs w:val="24"/>
          <w:lang w:val="pl-PL"/>
        </w:rPr>
        <w:t>2. Zasady publikacji reklam, co do ich zakresu i treści ustala Redaktor Naczelny w porozumieniu z Radą Programową.</w:t>
      </w:r>
    </w:p>
    <w:p w14:paraId="303F7D6D" w14:textId="77777777" w:rsidR="00CC3739" w:rsidRPr="007768ED" w:rsidRDefault="00D44E27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441A68">
        <w:rPr>
          <w:rFonts w:ascii="Times New Roman" w:hAnsi="Times New Roman" w:cs="Times New Roman"/>
          <w:sz w:val="24"/>
          <w:szCs w:val="24"/>
          <w:lang w:val="pl-PL"/>
        </w:rPr>
        <w:t>3. Redaktor Naczelny we współpracy z Radą Programową może odmówić publikacji reklamy bez podania przyczyny.</w:t>
      </w:r>
    </w:p>
    <w:p w14:paraId="0EBB84BC" w14:textId="77777777" w:rsidR="00CC3739" w:rsidRPr="007768ED" w:rsidRDefault="00CC3739" w:rsidP="009E73C9">
      <w:pPr>
        <w:pStyle w:val="TreB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ADFD45F" w14:textId="77777777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b/>
          <w:bCs/>
          <w:sz w:val="24"/>
          <w:szCs w:val="24"/>
          <w:lang w:val="pl-PL"/>
        </w:rPr>
        <w:t>§11</w:t>
      </w:r>
    </w:p>
    <w:p w14:paraId="07E32392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2FD85076" w14:textId="6FA81633" w:rsidR="00CC3739" w:rsidRPr="007768ED" w:rsidRDefault="00D44E27" w:rsidP="009E73C9">
      <w:pPr>
        <w:pStyle w:val="TreA"/>
        <w:spacing w:line="276" w:lineRule="auto"/>
        <w:jc w:val="center"/>
        <w:rPr>
          <w:rFonts w:ascii="Times New Roman" w:eastAsia="Cambria" w:hAnsi="Times New Roman" w:cs="Times New Roman"/>
          <w:sz w:val="24"/>
          <w:szCs w:val="24"/>
          <w:lang w:val="pl-PL"/>
        </w:rPr>
      </w:pPr>
      <w:r w:rsidRPr="007768ED">
        <w:rPr>
          <w:rFonts w:ascii="Times New Roman" w:hAnsi="Times New Roman" w:cs="Times New Roman"/>
          <w:sz w:val="24"/>
          <w:szCs w:val="24"/>
          <w:lang w:val="pl-PL"/>
        </w:rPr>
        <w:t>Uchwała wchodzi w życie z dniem podjęcia.</w:t>
      </w:r>
    </w:p>
    <w:p w14:paraId="18939018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700B984C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07DE8291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7E4397F7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0229CDC7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18C80644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pl-PL"/>
        </w:rPr>
      </w:pPr>
    </w:p>
    <w:p w14:paraId="4CA5104F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i/>
          <w:iCs/>
          <w:lang w:val="pl-PL"/>
        </w:rPr>
      </w:pPr>
      <w:r w:rsidRPr="007768ED">
        <w:rPr>
          <w:rFonts w:ascii="Times New Roman" w:hAnsi="Times New Roman" w:cs="Times New Roman"/>
          <w:i/>
          <w:iCs/>
          <w:lang w:val="pl-PL"/>
        </w:rPr>
        <w:t xml:space="preserve">Sekretarz Okręgowej Rady Lekarskiej </w:t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  <w:t xml:space="preserve">    Prezes Okręgowej Rady Lekarskiej</w:t>
      </w:r>
      <w:r w:rsidRPr="007768ED">
        <w:rPr>
          <w:rFonts w:ascii="Times New Roman" w:hAnsi="Times New Roman" w:cs="Times New Roman"/>
          <w:i/>
          <w:iCs/>
          <w:lang w:val="pl-PL"/>
        </w:rPr>
        <w:tab/>
        <w:t xml:space="preserve"> </w:t>
      </w:r>
    </w:p>
    <w:p w14:paraId="736F7A9E" w14:textId="4EA19C86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lang w:val="pl-PL"/>
        </w:rPr>
      </w:pPr>
      <w:r w:rsidRPr="007768ED">
        <w:rPr>
          <w:rFonts w:ascii="Times New Roman" w:hAnsi="Times New Roman" w:cs="Times New Roman"/>
          <w:i/>
          <w:iCs/>
          <w:lang w:val="pl-PL"/>
        </w:rPr>
        <w:t xml:space="preserve">                w Gdańsku</w:t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  <w:t xml:space="preserve">           </w:t>
      </w:r>
      <w:r w:rsidRPr="007768ED">
        <w:rPr>
          <w:rFonts w:ascii="Times New Roman" w:hAnsi="Times New Roman" w:cs="Times New Roman"/>
          <w:i/>
          <w:iCs/>
          <w:lang w:val="pl-PL"/>
        </w:rPr>
        <w:tab/>
        <w:t xml:space="preserve">         w Gdańsku</w:t>
      </w:r>
    </w:p>
    <w:p w14:paraId="16BFEA06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lang w:val="pl-PL"/>
        </w:rPr>
      </w:pPr>
    </w:p>
    <w:p w14:paraId="5B81ADF0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lang w:val="pl-PL"/>
        </w:rPr>
      </w:pPr>
    </w:p>
    <w:p w14:paraId="18FAAE26" w14:textId="77777777" w:rsidR="00CC3739" w:rsidRPr="007768ED" w:rsidRDefault="00CC3739" w:rsidP="009E73C9">
      <w:pPr>
        <w:pStyle w:val="TreA"/>
        <w:spacing w:line="276" w:lineRule="auto"/>
        <w:jc w:val="both"/>
        <w:rPr>
          <w:rFonts w:ascii="Times New Roman" w:eastAsia="Cambria" w:hAnsi="Times New Roman" w:cs="Times New Roman"/>
          <w:lang w:val="pl-PL"/>
        </w:rPr>
      </w:pPr>
    </w:p>
    <w:p w14:paraId="63F7B91A" w14:textId="77777777" w:rsidR="00CC3739" w:rsidRPr="007768ED" w:rsidRDefault="00D44E27" w:rsidP="009E73C9">
      <w:pPr>
        <w:pStyle w:val="TreA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7768ED">
        <w:rPr>
          <w:rFonts w:ascii="Times New Roman" w:hAnsi="Times New Roman" w:cs="Times New Roman"/>
          <w:i/>
          <w:iCs/>
          <w:lang w:val="pl-PL"/>
        </w:rPr>
        <w:t xml:space="preserve">   lek. Krzysztof </w:t>
      </w:r>
      <w:proofErr w:type="spellStart"/>
      <w:r w:rsidRPr="007768ED">
        <w:rPr>
          <w:rFonts w:ascii="Times New Roman" w:hAnsi="Times New Roman" w:cs="Times New Roman"/>
          <w:i/>
          <w:iCs/>
          <w:lang w:val="pl-PL"/>
        </w:rPr>
        <w:t>Wójcikiewicz</w:t>
      </w:r>
      <w:proofErr w:type="spellEnd"/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</w:r>
      <w:r w:rsidRPr="007768ED">
        <w:rPr>
          <w:rFonts w:ascii="Times New Roman" w:hAnsi="Times New Roman" w:cs="Times New Roman"/>
          <w:i/>
          <w:iCs/>
          <w:lang w:val="pl-PL"/>
        </w:rPr>
        <w:tab/>
        <w:t xml:space="preserve">    lek. dent. Dariusz </w:t>
      </w:r>
      <w:proofErr w:type="spellStart"/>
      <w:r w:rsidRPr="007768ED">
        <w:rPr>
          <w:rFonts w:ascii="Times New Roman" w:hAnsi="Times New Roman" w:cs="Times New Roman"/>
          <w:i/>
          <w:iCs/>
          <w:lang w:val="pl-PL"/>
        </w:rPr>
        <w:t>Kutella</w:t>
      </w:r>
      <w:proofErr w:type="spellEnd"/>
    </w:p>
    <w:sectPr w:rsidR="00CC3739" w:rsidRPr="007768E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B6D" w14:textId="77777777" w:rsidR="00DC65DB" w:rsidRDefault="00D44E27">
      <w:r>
        <w:separator/>
      </w:r>
    </w:p>
  </w:endnote>
  <w:endnote w:type="continuationSeparator" w:id="0">
    <w:p w14:paraId="5489F9B5" w14:textId="77777777" w:rsidR="00DC65DB" w:rsidRDefault="00D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91A" w14:textId="77777777" w:rsidR="00CC3739" w:rsidRDefault="00CC37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F75C" w14:textId="77777777" w:rsidR="00DC65DB" w:rsidRDefault="00D44E27">
      <w:r>
        <w:separator/>
      </w:r>
    </w:p>
  </w:footnote>
  <w:footnote w:type="continuationSeparator" w:id="0">
    <w:p w14:paraId="385034B5" w14:textId="77777777" w:rsidR="00DC65DB" w:rsidRDefault="00D4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C0B" w14:textId="77777777" w:rsidR="00CC3739" w:rsidRDefault="00D44E27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72DA0FD" wp14:editId="6C85D8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7D"/>
    <w:multiLevelType w:val="hybridMultilevel"/>
    <w:tmpl w:val="13DAFA0A"/>
    <w:numStyleLink w:val="Litery"/>
  </w:abstractNum>
  <w:abstractNum w:abstractNumId="1" w15:restartNumberingAfterBreak="0">
    <w:nsid w:val="197A1420"/>
    <w:multiLevelType w:val="hybridMultilevel"/>
    <w:tmpl w:val="3036150A"/>
    <w:numStyleLink w:val="Numery"/>
  </w:abstractNum>
  <w:abstractNum w:abstractNumId="2" w15:restartNumberingAfterBreak="0">
    <w:nsid w:val="275C36AF"/>
    <w:multiLevelType w:val="hybridMultilevel"/>
    <w:tmpl w:val="13DAFA0A"/>
    <w:styleLink w:val="Litery"/>
    <w:lvl w:ilvl="0" w:tplc="08C0178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46020">
      <w:start w:val="1"/>
      <w:numFmt w:val="decimal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4CF8E">
      <w:start w:val="1"/>
      <w:numFmt w:val="decimal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644E6">
      <w:start w:val="1"/>
      <w:numFmt w:val="decimal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A30DE">
      <w:start w:val="1"/>
      <w:numFmt w:val="decimal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F891EC">
      <w:start w:val="1"/>
      <w:numFmt w:val="decimal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C81E8">
      <w:start w:val="1"/>
      <w:numFmt w:val="decimal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2E80E">
      <w:start w:val="1"/>
      <w:numFmt w:val="decimal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C5AB2">
      <w:start w:val="1"/>
      <w:numFmt w:val="decimal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CE547D"/>
    <w:multiLevelType w:val="hybridMultilevel"/>
    <w:tmpl w:val="3036150A"/>
    <w:styleLink w:val="Numery"/>
    <w:lvl w:ilvl="0" w:tplc="8DB0461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1C7EB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2E57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EB2D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6006C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29EF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CDEF0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2FB5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4410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4645319">
    <w:abstractNumId w:val="3"/>
  </w:num>
  <w:num w:numId="2" w16cid:durableId="2020430615">
    <w:abstractNumId w:val="1"/>
  </w:num>
  <w:num w:numId="3" w16cid:durableId="267321951">
    <w:abstractNumId w:val="1"/>
    <w:lvlOverride w:ilvl="0">
      <w:startOverride w:val="1"/>
    </w:lvlOverride>
  </w:num>
  <w:num w:numId="4" w16cid:durableId="1460762442">
    <w:abstractNumId w:val="2"/>
  </w:num>
  <w:num w:numId="5" w16cid:durableId="111216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39"/>
    <w:rsid w:val="00163AC3"/>
    <w:rsid w:val="00417FDB"/>
    <w:rsid w:val="00441A68"/>
    <w:rsid w:val="007768ED"/>
    <w:rsid w:val="007E474B"/>
    <w:rsid w:val="009E73C9"/>
    <w:rsid w:val="00C11140"/>
    <w:rsid w:val="00CC3739"/>
    <w:rsid w:val="00D44E27"/>
    <w:rsid w:val="00DC65DB"/>
    <w:rsid w:val="00E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7D4"/>
  <w15:docId w15:val="{5E96F1CA-42D5-47C7-9DBB-2BDF6D8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B">
    <w:name w:val="Treść B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numbering" w:customStyle="1" w:styleId="Litery">
    <w:name w:val="Litery"/>
    <w:pPr>
      <w:numPr>
        <w:numId w:val="4"/>
      </w:numPr>
    </w:pPr>
  </w:style>
  <w:style w:type="character" w:customStyle="1" w:styleId="BrakA">
    <w:name w:val="Brak A"/>
    <w:rPr>
      <w:lang w:val="de-DE"/>
    </w:rPr>
  </w:style>
  <w:style w:type="paragraph" w:customStyle="1" w:styleId="Styltabeli2">
    <w:name w:val="Styl tabeli 2"/>
    <w:rsid w:val="00163AC3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417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923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1106</dc:creator>
  <cp:lastModifiedBy>KKM OIL</cp:lastModifiedBy>
  <cp:revision>10</cp:revision>
  <dcterms:created xsi:type="dcterms:W3CDTF">2022-12-12T10:13:00Z</dcterms:created>
  <dcterms:modified xsi:type="dcterms:W3CDTF">2022-12-15T16:14:00Z</dcterms:modified>
</cp:coreProperties>
</file>